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C9" w:rsidRPr="00B74BFF" w:rsidRDefault="00306FC9" w:rsidP="004A0529">
      <w:pPr>
        <w:spacing w:line="240" w:lineRule="auto"/>
        <w:jc w:val="right"/>
        <w:rPr>
          <w:rFonts w:ascii="Times New Roman" w:hAnsi="Times New Roman"/>
          <w:b/>
          <w:sz w:val="20"/>
          <w:szCs w:val="20"/>
          <w:lang w:val="uk-UA"/>
        </w:rPr>
      </w:pPr>
      <w:r w:rsidRPr="00B74BFF">
        <w:rPr>
          <w:rFonts w:ascii="Times New Roman" w:hAnsi="Times New Roman"/>
          <w:b/>
          <w:sz w:val="20"/>
          <w:szCs w:val="20"/>
          <w:lang w:val="uk-UA"/>
        </w:rPr>
        <w:t>«ЗАТВЕРДЖУЮ»</w:t>
      </w:r>
    </w:p>
    <w:p w:rsidR="00306FC9" w:rsidRPr="00B74BFF" w:rsidRDefault="00306FC9" w:rsidP="004A0529">
      <w:pPr>
        <w:spacing w:line="240" w:lineRule="auto"/>
        <w:jc w:val="right"/>
        <w:rPr>
          <w:rFonts w:ascii="Times New Roman" w:hAnsi="Times New Roman"/>
          <w:b/>
          <w:sz w:val="20"/>
          <w:szCs w:val="20"/>
          <w:lang w:val="uk-UA"/>
        </w:rPr>
      </w:pPr>
      <w:r w:rsidRPr="00B74BFF">
        <w:rPr>
          <w:rFonts w:ascii="Times New Roman" w:hAnsi="Times New Roman"/>
          <w:b/>
          <w:sz w:val="20"/>
          <w:szCs w:val="20"/>
          <w:lang w:val="uk-UA"/>
        </w:rPr>
        <w:t xml:space="preserve">Заступник міського голови </w:t>
      </w:r>
    </w:p>
    <w:p w:rsidR="00306FC9" w:rsidRPr="00B74BFF" w:rsidRDefault="00306FC9" w:rsidP="004A0529">
      <w:pPr>
        <w:spacing w:line="240" w:lineRule="auto"/>
        <w:jc w:val="right"/>
        <w:rPr>
          <w:rFonts w:ascii="Times New Roman" w:hAnsi="Times New Roman"/>
          <w:b/>
          <w:sz w:val="20"/>
          <w:szCs w:val="20"/>
          <w:lang w:val="uk-UA"/>
        </w:rPr>
      </w:pPr>
      <w:r w:rsidRPr="00B74BFF">
        <w:rPr>
          <w:rFonts w:ascii="Times New Roman" w:hAnsi="Times New Roman"/>
          <w:b/>
          <w:sz w:val="20"/>
          <w:szCs w:val="20"/>
          <w:lang w:val="uk-UA"/>
        </w:rPr>
        <w:t xml:space="preserve">з питань діяльності </w:t>
      </w:r>
    </w:p>
    <w:p w:rsidR="00306FC9" w:rsidRPr="00B74BFF" w:rsidRDefault="00306FC9" w:rsidP="004A0529">
      <w:pPr>
        <w:spacing w:line="240" w:lineRule="auto"/>
        <w:jc w:val="right"/>
        <w:rPr>
          <w:rFonts w:ascii="Times New Roman" w:hAnsi="Times New Roman"/>
          <w:b/>
          <w:sz w:val="20"/>
          <w:szCs w:val="20"/>
          <w:lang w:val="uk-UA"/>
        </w:rPr>
      </w:pPr>
      <w:r w:rsidRPr="00B74BFF">
        <w:rPr>
          <w:rFonts w:ascii="Times New Roman" w:hAnsi="Times New Roman"/>
          <w:b/>
          <w:sz w:val="20"/>
          <w:szCs w:val="20"/>
          <w:lang w:val="uk-UA"/>
        </w:rPr>
        <w:t>виконавчих органів</w:t>
      </w:r>
    </w:p>
    <w:p w:rsidR="00306FC9" w:rsidRPr="00B74BFF" w:rsidRDefault="00306FC9" w:rsidP="004A0529">
      <w:pPr>
        <w:spacing w:line="240" w:lineRule="auto"/>
        <w:jc w:val="right"/>
        <w:rPr>
          <w:rFonts w:ascii="Times New Roman" w:hAnsi="Times New Roman"/>
          <w:b/>
          <w:sz w:val="20"/>
          <w:szCs w:val="20"/>
          <w:lang w:val="uk-UA"/>
        </w:rPr>
      </w:pPr>
      <w:r w:rsidRPr="00B74BFF">
        <w:rPr>
          <w:rFonts w:ascii="Times New Roman" w:hAnsi="Times New Roman"/>
          <w:b/>
          <w:sz w:val="20"/>
          <w:szCs w:val="20"/>
          <w:lang w:val="uk-UA"/>
        </w:rPr>
        <w:t>_____________ С.Гребенюк</w:t>
      </w:r>
    </w:p>
    <w:p w:rsidR="00306FC9" w:rsidRPr="00B74BFF" w:rsidRDefault="00306FC9" w:rsidP="00B74BFF">
      <w:pPr>
        <w:spacing w:line="240" w:lineRule="auto"/>
        <w:jc w:val="right"/>
        <w:rPr>
          <w:rFonts w:ascii="Times New Roman" w:hAnsi="Times New Roman"/>
          <w:sz w:val="20"/>
          <w:szCs w:val="20"/>
          <w:lang w:val="uk-UA"/>
        </w:rPr>
      </w:pPr>
      <w:r w:rsidRPr="00B74BFF">
        <w:rPr>
          <w:rFonts w:ascii="Times New Roman" w:hAnsi="Times New Roman"/>
          <w:b/>
          <w:sz w:val="20"/>
          <w:szCs w:val="20"/>
          <w:lang w:val="uk-UA"/>
        </w:rPr>
        <w:t>«</w:t>
      </w:r>
      <w:r w:rsidRPr="00F8613D">
        <w:rPr>
          <w:rFonts w:ascii="Times New Roman" w:hAnsi="Times New Roman"/>
          <w:b/>
          <w:sz w:val="20"/>
          <w:szCs w:val="20"/>
        </w:rPr>
        <w:t>06</w:t>
      </w:r>
      <w:r w:rsidRPr="00B74BFF">
        <w:rPr>
          <w:rFonts w:ascii="Times New Roman" w:hAnsi="Times New Roman"/>
          <w:b/>
          <w:sz w:val="20"/>
          <w:szCs w:val="20"/>
          <w:lang w:val="uk-UA"/>
        </w:rPr>
        <w:t>»</w:t>
      </w:r>
      <w:r>
        <w:rPr>
          <w:rFonts w:ascii="Times New Roman" w:hAnsi="Times New Roman"/>
          <w:b/>
          <w:sz w:val="20"/>
          <w:szCs w:val="20"/>
          <w:lang w:val="uk-UA"/>
        </w:rPr>
        <w:t>травня</w:t>
      </w:r>
      <w:bookmarkStart w:id="0" w:name="_GoBack"/>
      <w:bookmarkEnd w:id="0"/>
      <w:r w:rsidRPr="00B74BFF">
        <w:rPr>
          <w:rFonts w:ascii="Times New Roman" w:hAnsi="Times New Roman"/>
          <w:b/>
          <w:sz w:val="20"/>
          <w:szCs w:val="20"/>
          <w:lang w:val="uk-UA"/>
        </w:rPr>
        <w:t xml:space="preserve"> 2016р.</w:t>
      </w:r>
    </w:p>
    <w:p w:rsidR="00306FC9" w:rsidRPr="00B74BFF" w:rsidRDefault="00306FC9" w:rsidP="007852DC">
      <w:pPr>
        <w:jc w:val="center"/>
        <w:rPr>
          <w:rFonts w:ascii="Times New Roman" w:hAnsi="Times New Roman"/>
          <w:b/>
          <w:lang w:val="uk-UA"/>
        </w:rPr>
      </w:pPr>
      <w:r w:rsidRPr="00B74BFF">
        <w:rPr>
          <w:rFonts w:ascii="Times New Roman" w:hAnsi="Times New Roman"/>
          <w:b/>
          <w:lang w:val="uk-UA"/>
        </w:rPr>
        <w:t>ЗВІТ</w:t>
      </w:r>
    </w:p>
    <w:p w:rsidR="00306FC9" w:rsidRPr="00B74BFF" w:rsidRDefault="00306FC9" w:rsidP="004A0529">
      <w:pPr>
        <w:jc w:val="center"/>
        <w:rPr>
          <w:rFonts w:ascii="Times New Roman" w:hAnsi="Times New Roman"/>
          <w:b/>
          <w:lang w:val="uk-UA"/>
        </w:rPr>
      </w:pPr>
      <w:r w:rsidRPr="00B74BFF">
        <w:rPr>
          <w:rFonts w:ascii="Times New Roman" w:hAnsi="Times New Roman"/>
          <w:b/>
        </w:rPr>
        <w:t xml:space="preserve">про </w:t>
      </w:r>
      <w:r>
        <w:rPr>
          <w:rFonts w:ascii="Times New Roman" w:hAnsi="Times New Roman"/>
          <w:b/>
          <w:lang w:val="uk-UA"/>
        </w:rPr>
        <w:t>повторне</w:t>
      </w:r>
      <w:r w:rsidRPr="00F8613D">
        <w:rPr>
          <w:rFonts w:ascii="Times New Roman" w:hAnsi="Times New Roman"/>
          <w:b/>
        </w:rPr>
        <w:t xml:space="preserve"> </w:t>
      </w:r>
      <w:r w:rsidRPr="00B74BFF">
        <w:rPr>
          <w:rFonts w:ascii="Times New Roman" w:hAnsi="Times New Roman"/>
          <w:b/>
        </w:rPr>
        <w:t>відстеження</w:t>
      </w:r>
      <w:r w:rsidRPr="00F8613D">
        <w:rPr>
          <w:rFonts w:ascii="Times New Roman" w:hAnsi="Times New Roman"/>
          <w:b/>
        </w:rPr>
        <w:t xml:space="preserve"> </w:t>
      </w:r>
      <w:r w:rsidRPr="00B74BFF">
        <w:rPr>
          <w:rFonts w:ascii="Times New Roman" w:hAnsi="Times New Roman"/>
          <w:b/>
        </w:rPr>
        <w:t>результативності</w:t>
      </w:r>
      <w:r w:rsidRPr="00F8613D">
        <w:rPr>
          <w:rFonts w:ascii="Times New Roman" w:hAnsi="Times New Roman"/>
          <w:b/>
        </w:rPr>
        <w:t xml:space="preserve"> </w:t>
      </w:r>
      <w:r w:rsidRPr="00B74BFF">
        <w:rPr>
          <w:rFonts w:ascii="Times New Roman" w:hAnsi="Times New Roman"/>
          <w:b/>
          <w:lang w:val="uk-UA"/>
        </w:rPr>
        <w:t xml:space="preserve">регуляторного акта </w:t>
      </w:r>
    </w:p>
    <w:p w:rsidR="00306FC9" w:rsidRPr="00B74BFF" w:rsidRDefault="00306FC9" w:rsidP="00B74BFF">
      <w:pPr>
        <w:spacing w:after="0"/>
        <w:jc w:val="both"/>
        <w:rPr>
          <w:rFonts w:ascii="Times New Roman" w:hAnsi="Times New Roman"/>
          <w:lang w:val="uk-UA"/>
        </w:rPr>
      </w:pPr>
      <w:r w:rsidRPr="00B74BFF">
        <w:rPr>
          <w:rFonts w:ascii="Times New Roman" w:hAnsi="Times New Roman"/>
          <w:b/>
          <w:lang w:val="uk-UA"/>
        </w:rPr>
        <w:t>1.Вид та назва регуляторного акту:</w:t>
      </w:r>
      <w:r w:rsidRPr="00B74BFF">
        <w:rPr>
          <w:rFonts w:ascii="Times New Roman" w:hAnsi="Times New Roman"/>
          <w:lang w:val="uk-UA"/>
        </w:rPr>
        <w:t xml:space="preserve"> рішення виконавчого комітету Знам’янської міської ради від </w:t>
      </w:r>
      <w:r w:rsidRPr="00860116">
        <w:rPr>
          <w:rFonts w:ascii="Times New Roman" w:hAnsi="Times New Roman"/>
          <w:lang w:val="uk-UA"/>
        </w:rPr>
        <w:t>10</w:t>
      </w:r>
      <w:r w:rsidRPr="00B74BFF">
        <w:rPr>
          <w:rFonts w:ascii="Times New Roman" w:hAnsi="Times New Roman"/>
          <w:lang w:val="uk-UA"/>
        </w:rPr>
        <w:t>.0</w:t>
      </w:r>
      <w:r w:rsidRPr="00860116">
        <w:rPr>
          <w:rFonts w:ascii="Times New Roman" w:hAnsi="Times New Roman"/>
          <w:lang w:val="uk-UA"/>
        </w:rPr>
        <w:t>4</w:t>
      </w:r>
      <w:r w:rsidRPr="00B74BFF">
        <w:rPr>
          <w:rFonts w:ascii="Times New Roman" w:hAnsi="Times New Roman"/>
          <w:lang w:val="uk-UA"/>
        </w:rPr>
        <w:t>.201</w:t>
      </w:r>
      <w:r w:rsidRPr="00860116">
        <w:rPr>
          <w:rFonts w:ascii="Times New Roman" w:hAnsi="Times New Roman"/>
          <w:lang w:val="uk-UA"/>
        </w:rPr>
        <w:t>5</w:t>
      </w:r>
      <w:r>
        <w:rPr>
          <w:rFonts w:ascii="Times New Roman" w:hAnsi="Times New Roman"/>
          <w:lang w:val="uk-UA"/>
        </w:rPr>
        <w:t>року №</w:t>
      </w:r>
      <w:r w:rsidRPr="00860116">
        <w:rPr>
          <w:rFonts w:ascii="Times New Roman" w:hAnsi="Times New Roman"/>
          <w:lang w:val="uk-UA"/>
        </w:rPr>
        <w:t>98</w:t>
      </w:r>
      <w:r w:rsidRPr="00B74BFF">
        <w:rPr>
          <w:rFonts w:ascii="Times New Roman" w:hAnsi="Times New Roman"/>
          <w:lang w:val="uk-UA"/>
        </w:rPr>
        <w:t xml:space="preserve"> «Про встановлення </w:t>
      </w:r>
      <w:r>
        <w:rPr>
          <w:rFonts w:ascii="Times New Roman" w:hAnsi="Times New Roman"/>
          <w:lang w:val="uk-UA"/>
        </w:rPr>
        <w:t>тарифу на перевезення пасажирів на міських автобусних маршрутах загального користування»</w:t>
      </w:r>
      <w:r w:rsidRPr="00B74BFF">
        <w:rPr>
          <w:rFonts w:ascii="Times New Roman" w:hAnsi="Times New Roman"/>
          <w:lang w:val="uk-UA"/>
        </w:rPr>
        <w:t>.</w:t>
      </w:r>
    </w:p>
    <w:p w:rsidR="00306FC9" w:rsidRPr="00B74BFF" w:rsidRDefault="00306FC9" w:rsidP="00B74BFF">
      <w:pPr>
        <w:spacing w:after="0"/>
        <w:jc w:val="both"/>
        <w:rPr>
          <w:rFonts w:ascii="Times New Roman" w:hAnsi="Times New Roman"/>
          <w:lang w:val="uk-UA"/>
        </w:rPr>
      </w:pPr>
      <w:r w:rsidRPr="00B74BFF">
        <w:rPr>
          <w:rFonts w:ascii="Times New Roman" w:hAnsi="Times New Roman"/>
          <w:b/>
          <w:lang w:val="uk-UA"/>
        </w:rPr>
        <w:t xml:space="preserve">2.Назва виконавця заходів з відстеження: </w:t>
      </w:r>
      <w:r w:rsidRPr="00B74BFF">
        <w:rPr>
          <w:rFonts w:ascii="Times New Roman" w:hAnsi="Times New Roman"/>
          <w:lang w:val="uk-UA"/>
        </w:rPr>
        <w:t>відділ економічного розвитку, промисловості, інфраструктури та торгівлі</w:t>
      </w:r>
    </w:p>
    <w:p w:rsidR="00306FC9" w:rsidRPr="00CD4746" w:rsidRDefault="00306FC9" w:rsidP="00B74BFF">
      <w:pPr>
        <w:spacing w:after="0"/>
        <w:jc w:val="both"/>
        <w:rPr>
          <w:rFonts w:ascii="Times New Roman" w:hAnsi="Times New Roman"/>
          <w:lang w:val="uk-UA"/>
        </w:rPr>
      </w:pPr>
      <w:r w:rsidRPr="00B74BFF">
        <w:rPr>
          <w:rFonts w:ascii="Times New Roman" w:hAnsi="Times New Roman"/>
          <w:b/>
          <w:lang w:val="uk-UA"/>
        </w:rPr>
        <w:t>3. Цілі прийняття акту</w:t>
      </w:r>
      <w:r w:rsidRPr="00B74BFF">
        <w:rPr>
          <w:rFonts w:ascii="Times New Roman" w:hAnsi="Times New Roman"/>
          <w:lang w:val="uk-UA"/>
        </w:rPr>
        <w:t xml:space="preserve"> – </w:t>
      </w:r>
      <w:r w:rsidRPr="00CD4746">
        <w:rPr>
          <w:rFonts w:ascii="Times New Roman" w:hAnsi="Times New Roman"/>
          <w:lang w:val="uk-UA"/>
        </w:rPr>
        <w:t>створення умов для забезпечення стабільної роботи автотранспорту на міських маршрутах.</w:t>
      </w:r>
    </w:p>
    <w:p w:rsidR="00306FC9" w:rsidRPr="00CF39E5" w:rsidRDefault="00306FC9" w:rsidP="00B74BFF">
      <w:pPr>
        <w:spacing w:after="0"/>
        <w:jc w:val="both"/>
        <w:rPr>
          <w:rFonts w:ascii="Times New Roman" w:hAnsi="Times New Roman"/>
          <w:lang w:val="uk-UA"/>
        </w:rPr>
      </w:pPr>
      <w:r w:rsidRPr="00CF39E5">
        <w:rPr>
          <w:rFonts w:ascii="Times New Roman" w:hAnsi="Times New Roman"/>
          <w:b/>
          <w:lang w:val="uk-UA"/>
        </w:rPr>
        <w:t xml:space="preserve">4. Строк виконання заходів з відстеження: </w:t>
      </w:r>
      <w:r w:rsidRPr="00CF39E5">
        <w:rPr>
          <w:rFonts w:ascii="Times New Roman" w:hAnsi="Times New Roman"/>
          <w:lang w:val="uk-UA"/>
        </w:rPr>
        <w:t>11.04.2016р. -10.06.2016р.</w:t>
      </w:r>
    </w:p>
    <w:p w:rsidR="00306FC9" w:rsidRPr="00CF39E5" w:rsidRDefault="00306FC9" w:rsidP="00B74BFF">
      <w:pPr>
        <w:spacing w:after="0"/>
        <w:jc w:val="both"/>
        <w:rPr>
          <w:rFonts w:ascii="Times New Roman" w:hAnsi="Times New Roman"/>
          <w:lang w:val="uk-UA"/>
        </w:rPr>
      </w:pPr>
      <w:r w:rsidRPr="00CF39E5">
        <w:rPr>
          <w:rFonts w:ascii="Times New Roman" w:hAnsi="Times New Roman"/>
          <w:b/>
          <w:lang w:val="uk-UA"/>
        </w:rPr>
        <w:t>5. Тип відстеження:</w:t>
      </w:r>
      <w:r w:rsidRPr="00CF39E5">
        <w:rPr>
          <w:rFonts w:ascii="Times New Roman" w:hAnsi="Times New Roman"/>
          <w:lang w:val="uk-UA"/>
        </w:rPr>
        <w:t>повторне.</w:t>
      </w:r>
    </w:p>
    <w:p w:rsidR="00306FC9" w:rsidRPr="00CF39E5" w:rsidRDefault="00306FC9" w:rsidP="00B74BFF">
      <w:pPr>
        <w:spacing w:after="0"/>
        <w:jc w:val="both"/>
        <w:rPr>
          <w:rFonts w:ascii="Times New Roman" w:hAnsi="Times New Roman"/>
          <w:b/>
        </w:rPr>
      </w:pPr>
      <w:r w:rsidRPr="00CF39E5">
        <w:rPr>
          <w:rFonts w:ascii="Times New Roman" w:hAnsi="Times New Roman"/>
          <w:b/>
          <w:lang w:val="uk-UA"/>
        </w:rPr>
        <w:t xml:space="preserve">6. </w:t>
      </w:r>
      <w:r w:rsidRPr="00CF39E5">
        <w:rPr>
          <w:rFonts w:ascii="Times New Roman" w:hAnsi="Times New Roman"/>
          <w:b/>
        </w:rPr>
        <w:t>Методи</w:t>
      </w:r>
      <w:r>
        <w:rPr>
          <w:rFonts w:ascii="Times New Roman" w:hAnsi="Times New Roman"/>
          <w:b/>
          <w:lang w:val="en-US"/>
        </w:rPr>
        <w:t xml:space="preserve"> </w:t>
      </w:r>
      <w:r w:rsidRPr="00CF39E5">
        <w:rPr>
          <w:rFonts w:ascii="Times New Roman" w:hAnsi="Times New Roman"/>
          <w:b/>
        </w:rPr>
        <w:t>одержання</w:t>
      </w:r>
      <w:r>
        <w:rPr>
          <w:rFonts w:ascii="Times New Roman" w:hAnsi="Times New Roman"/>
          <w:b/>
          <w:lang w:val="en-US"/>
        </w:rPr>
        <w:t xml:space="preserve"> </w:t>
      </w:r>
      <w:r w:rsidRPr="00CF39E5">
        <w:rPr>
          <w:rFonts w:ascii="Times New Roman" w:hAnsi="Times New Roman"/>
          <w:b/>
        </w:rPr>
        <w:t>результатів</w:t>
      </w:r>
      <w:r>
        <w:rPr>
          <w:rFonts w:ascii="Times New Roman" w:hAnsi="Times New Roman"/>
          <w:b/>
          <w:lang w:val="en-US"/>
        </w:rPr>
        <w:t xml:space="preserve"> </w:t>
      </w:r>
      <w:r w:rsidRPr="00CF39E5">
        <w:rPr>
          <w:rFonts w:ascii="Times New Roman" w:hAnsi="Times New Roman"/>
          <w:b/>
        </w:rPr>
        <w:t>відстеження</w:t>
      </w:r>
    </w:p>
    <w:p w:rsidR="00306FC9" w:rsidRPr="00CF39E5" w:rsidRDefault="00306FC9" w:rsidP="00B74BFF">
      <w:pPr>
        <w:spacing w:after="0"/>
        <w:jc w:val="both"/>
        <w:rPr>
          <w:rFonts w:ascii="Times New Roman" w:hAnsi="Times New Roman"/>
          <w:lang w:val="uk-UA"/>
        </w:rPr>
      </w:pPr>
      <w:r w:rsidRPr="00CF39E5">
        <w:rPr>
          <w:rFonts w:ascii="Times New Roman" w:hAnsi="Times New Roman"/>
          <w:lang w:val="uk-UA"/>
        </w:rPr>
        <w:t xml:space="preserve">Для проведення повторного </w:t>
      </w:r>
      <w:r w:rsidRPr="00CF39E5">
        <w:rPr>
          <w:rFonts w:ascii="Times New Roman" w:hAnsi="Times New Roman"/>
        </w:rPr>
        <w:t>відстеження</w:t>
      </w:r>
      <w:r w:rsidRPr="00CF39E5">
        <w:rPr>
          <w:rFonts w:ascii="Times New Roman" w:hAnsi="Times New Roman"/>
          <w:lang w:val="uk-UA"/>
        </w:rPr>
        <w:t>використовувалися статистичні показники.</w:t>
      </w:r>
    </w:p>
    <w:p w:rsidR="00306FC9" w:rsidRPr="00CF39E5" w:rsidRDefault="00306FC9" w:rsidP="00B74BFF">
      <w:pPr>
        <w:spacing w:after="0"/>
        <w:jc w:val="both"/>
        <w:rPr>
          <w:rFonts w:ascii="Times New Roman" w:hAnsi="Times New Roman"/>
          <w:b/>
          <w:lang w:val="uk-UA"/>
        </w:rPr>
      </w:pPr>
      <w:r w:rsidRPr="00CF39E5">
        <w:rPr>
          <w:rFonts w:ascii="Times New Roman" w:hAnsi="Times New Roman"/>
          <w:b/>
          <w:lang w:val="uk-UA"/>
        </w:rPr>
        <w:t xml:space="preserve">7. </w:t>
      </w:r>
      <w:r w:rsidRPr="00CF39E5">
        <w:rPr>
          <w:rFonts w:ascii="Times New Roman" w:hAnsi="Times New Roman"/>
          <w:b/>
        </w:rPr>
        <w:t>Дані та припущення</w:t>
      </w:r>
      <w:r w:rsidRPr="00CF39E5">
        <w:rPr>
          <w:rFonts w:ascii="Times New Roman" w:hAnsi="Times New Roman"/>
          <w:b/>
          <w:lang w:val="uk-UA"/>
        </w:rPr>
        <w:t xml:space="preserve">, </w:t>
      </w:r>
      <w:r w:rsidRPr="00CF39E5">
        <w:rPr>
          <w:rFonts w:ascii="Times New Roman" w:hAnsi="Times New Roman"/>
          <w:b/>
        </w:rPr>
        <w:t>на основі</w:t>
      </w:r>
      <w:r w:rsidRPr="00F8613D">
        <w:rPr>
          <w:rFonts w:ascii="Times New Roman" w:hAnsi="Times New Roman"/>
          <w:b/>
        </w:rPr>
        <w:t xml:space="preserve"> </w:t>
      </w:r>
      <w:r w:rsidRPr="00CF39E5">
        <w:rPr>
          <w:rFonts w:ascii="Times New Roman" w:hAnsi="Times New Roman"/>
          <w:b/>
        </w:rPr>
        <w:t>яких</w:t>
      </w:r>
      <w:r w:rsidRPr="00F8613D">
        <w:rPr>
          <w:rFonts w:ascii="Times New Roman" w:hAnsi="Times New Roman"/>
          <w:b/>
        </w:rPr>
        <w:t xml:space="preserve"> </w:t>
      </w:r>
      <w:r w:rsidRPr="00CF39E5">
        <w:rPr>
          <w:rFonts w:ascii="Times New Roman" w:hAnsi="Times New Roman"/>
          <w:b/>
        </w:rPr>
        <w:t>відстежувалас</w:t>
      </w:r>
      <w:r w:rsidRPr="00CF39E5">
        <w:rPr>
          <w:rFonts w:ascii="Times New Roman" w:hAnsi="Times New Roman"/>
          <w:b/>
          <w:lang w:val="uk-UA"/>
        </w:rPr>
        <w:t>я</w:t>
      </w:r>
      <w:r w:rsidRPr="00F8613D">
        <w:rPr>
          <w:rFonts w:ascii="Times New Roman" w:hAnsi="Times New Roman"/>
          <w:b/>
        </w:rPr>
        <w:t xml:space="preserve"> </w:t>
      </w:r>
      <w:r w:rsidRPr="00CF39E5">
        <w:rPr>
          <w:rFonts w:ascii="Times New Roman" w:hAnsi="Times New Roman"/>
          <w:b/>
        </w:rPr>
        <w:t>результативність, а також</w:t>
      </w:r>
      <w:r w:rsidRPr="00F8613D">
        <w:rPr>
          <w:rFonts w:ascii="Times New Roman" w:hAnsi="Times New Roman"/>
          <w:b/>
        </w:rPr>
        <w:t xml:space="preserve"> </w:t>
      </w:r>
      <w:r w:rsidRPr="00CF39E5">
        <w:rPr>
          <w:rFonts w:ascii="Times New Roman" w:hAnsi="Times New Roman"/>
          <w:b/>
        </w:rPr>
        <w:t>способи</w:t>
      </w:r>
      <w:r w:rsidRPr="00F8613D">
        <w:rPr>
          <w:rFonts w:ascii="Times New Roman" w:hAnsi="Times New Roman"/>
          <w:b/>
        </w:rPr>
        <w:t xml:space="preserve"> </w:t>
      </w:r>
      <w:r w:rsidRPr="00CF39E5">
        <w:rPr>
          <w:rFonts w:ascii="Times New Roman" w:hAnsi="Times New Roman"/>
          <w:b/>
        </w:rPr>
        <w:t>одержання</w:t>
      </w:r>
      <w:r w:rsidRPr="00F8613D">
        <w:rPr>
          <w:rFonts w:ascii="Times New Roman" w:hAnsi="Times New Roman"/>
          <w:b/>
        </w:rPr>
        <w:t xml:space="preserve"> </w:t>
      </w:r>
      <w:r w:rsidRPr="00CF39E5">
        <w:rPr>
          <w:rFonts w:ascii="Times New Roman" w:hAnsi="Times New Roman"/>
          <w:b/>
        </w:rPr>
        <w:t>даних</w:t>
      </w:r>
      <w:r w:rsidRPr="00CF39E5">
        <w:rPr>
          <w:rFonts w:ascii="Times New Roman" w:hAnsi="Times New Roman"/>
          <w:b/>
          <w:lang w:val="uk-UA"/>
        </w:rPr>
        <w:t>:</w:t>
      </w:r>
    </w:p>
    <w:p w:rsidR="00306FC9" w:rsidRPr="00CF39E5" w:rsidRDefault="00306FC9" w:rsidP="00B74BFF">
      <w:pPr>
        <w:spacing w:after="0"/>
        <w:jc w:val="both"/>
        <w:rPr>
          <w:rFonts w:ascii="Times New Roman" w:hAnsi="Times New Roman"/>
          <w:lang w:val="uk-UA"/>
        </w:rPr>
      </w:pPr>
      <w:r w:rsidRPr="00CF39E5">
        <w:rPr>
          <w:rFonts w:ascii="Times New Roman" w:hAnsi="Times New Roman"/>
          <w:lang w:val="uk-UA"/>
        </w:rPr>
        <w:t>Відстеження результативності цього регуляторного акту здійснювалося шляхом описання статистичних показників, а саме:</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тариф на перевезення пасажирів на міських автобусних маршрутах загального користування;</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кількість автоперевізників, на яких поширюється дія регуляторного акту;</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обсяг пасажироперевезень на міських автобусних маршрутах;</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кількість автобусів, які щоденно обслуговують міські автобусні маршрути загального користування;</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фінансовий результат</w:t>
      </w:r>
      <w:r>
        <w:rPr>
          <w:rFonts w:ascii="Times New Roman" w:hAnsi="Times New Roman"/>
          <w:lang w:val="uk-UA"/>
        </w:rPr>
        <w:t xml:space="preserve"> діяльності підприємства</w:t>
      </w:r>
      <w:r w:rsidRPr="00671FFE">
        <w:rPr>
          <w:rFonts w:ascii="Times New Roman" w:hAnsi="Times New Roman"/>
          <w:lang w:val="uk-UA"/>
        </w:rPr>
        <w:t>;</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мінімальна заробітна плата</w:t>
      </w:r>
      <w:r>
        <w:rPr>
          <w:rFonts w:ascii="Times New Roman" w:hAnsi="Times New Roman"/>
          <w:lang w:val="uk-UA"/>
        </w:rPr>
        <w:t xml:space="preserve"> працівників перевізників</w:t>
      </w:r>
      <w:r w:rsidRPr="00671FFE">
        <w:rPr>
          <w:rFonts w:ascii="Times New Roman" w:hAnsi="Times New Roman"/>
          <w:lang w:val="uk-UA"/>
        </w:rPr>
        <w:t>;</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вартість пального;</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кількість автобусних маршрутів</w:t>
      </w:r>
      <w:r w:rsidRPr="00EB0886">
        <w:rPr>
          <w:rFonts w:ascii="Times New Roman" w:hAnsi="Times New Roman"/>
        </w:rPr>
        <w:t xml:space="preserve"> </w:t>
      </w:r>
      <w:r w:rsidRPr="00671FFE">
        <w:rPr>
          <w:rFonts w:ascii="Times New Roman" w:hAnsi="Times New Roman"/>
          <w:lang w:val="uk-UA"/>
        </w:rPr>
        <w:t>загального користування;</w:t>
      </w:r>
    </w:p>
    <w:p w:rsidR="00306FC9" w:rsidRPr="00671FFE" w:rsidRDefault="00306FC9" w:rsidP="00CF39E5">
      <w:pPr>
        <w:pStyle w:val="ListParagraph"/>
        <w:numPr>
          <w:ilvl w:val="0"/>
          <w:numId w:val="4"/>
        </w:numPr>
        <w:spacing w:after="0"/>
        <w:jc w:val="both"/>
        <w:rPr>
          <w:rFonts w:ascii="Times New Roman" w:hAnsi="Times New Roman"/>
          <w:lang w:val="uk-UA"/>
        </w:rPr>
      </w:pPr>
      <w:r w:rsidRPr="00671FFE">
        <w:rPr>
          <w:rFonts w:ascii="Times New Roman" w:hAnsi="Times New Roman"/>
          <w:lang w:val="uk-UA"/>
        </w:rPr>
        <w:t>кількість виконаних рейсів на автобусних маршрутах загального користування.</w:t>
      </w:r>
    </w:p>
    <w:p w:rsidR="00306FC9" w:rsidRPr="00A203FD" w:rsidRDefault="00306FC9" w:rsidP="00B74BFF">
      <w:pPr>
        <w:spacing w:after="0"/>
        <w:jc w:val="both"/>
        <w:rPr>
          <w:rFonts w:ascii="Times New Roman" w:hAnsi="Times New Roman"/>
          <w:b/>
          <w:lang w:val="uk-UA"/>
        </w:rPr>
      </w:pPr>
      <w:r w:rsidRPr="00A203FD">
        <w:rPr>
          <w:rFonts w:ascii="Times New Roman" w:hAnsi="Times New Roman"/>
          <w:b/>
          <w:lang w:val="uk-UA"/>
        </w:rPr>
        <w:t xml:space="preserve">8. </w:t>
      </w:r>
      <w:r w:rsidRPr="00A203FD">
        <w:rPr>
          <w:rFonts w:ascii="Times New Roman" w:hAnsi="Times New Roman"/>
          <w:b/>
        </w:rPr>
        <w:t>Кількісні та якісні</w:t>
      </w:r>
      <w:r w:rsidRPr="00EB0886">
        <w:rPr>
          <w:rFonts w:ascii="Times New Roman" w:hAnsi="Times New Roman"/>
          <w:b/>
        </w:rPr>
        <w:t xml:space="preserve"> </w:t>
      </w:r>
      <w:r w:rsidRPr="00A203FD">
        <w:rPr>
          <w:rFonts w:ascii="Times New Roman" w:hAnsi="Times New Roman"/>
          <w:b/>
        </w:rPr>
        <w:t>значення</w:t>
      </w:r>
      <w:r w:rsidRPr="00EB0886">
        <w:rPr>
          <w:rFonts w:ascii="Times New Roman" w:hAnsi="Times New Roman"/>
          <w:b/>
        </w:rPr>
        <w:t xml:space="preserve"> </w:t>
      </w:r>
      <w:r w:rsidRPr="00A203FD">
        <w:rPr>
          <w:rFonts w:ascii="Times New Roman" w:hAnsi="Times New Roman"/>
          <w:b/>
        </w:rPr>
        <w:t>показників</w:t>
      </w:r>
      <w:r w:rsidRPr="00EB0886">
        <w:rPr>
          <w:rFonts w:ascii="Times New Roman" w:hAnsi="Times New Roman"/>
          <w:b/>
        </w:rPr>
        <w:t xml:space="preserve"> </w:t>
      </w:r>
      <w:r w:rsidRPr="00A203FD">
        <w:rPr>
          <w:rFonts w:ascii="Times New Roman" w:hAnsi="Times New Roman"/>
          <w:b/>
        </w:rPr>
        <w:t>результативності</w:t>
      </w:r>
      <w:r w:rsidRPr="00EB0886">
        <w:rPr>
          <w:rFonts w:ascii="Times New Roman" w:hAnsi="Times New Roman"/>
          <w:b/>
        </w:rPr>
        <w:t xml:space="preserve"> </w:t>
      </w:r>
      <w:r w:rsidRPr="00A203FD">
        <w:rPr>
          <w:rFonts w:ascii="Times New Roman" w:hAnsi="Times New Roman"/>
          <w:b/>
        </w:rPr>
        <w:t>регуляторного акту</w:t>
      </w:r>
      <w:r w:rsidRPr="00A203FD">
        <w:rPr>
          <w:rFonts w:ascii="Times New Roman" w:hAnsi="Times New Roman"/>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28"/>
        <w:gridCol w:w="1276"/>
        <w:gridCol w:w="1559"/>
      </w:tblGrid>
      <w:tr w:rsidR="00306FC9" w:rsidRPr="00860116" w:rsidTr="00671FFE">
        <w:tc>
          <w:tcPr>
            <w:tcW w:w="817" w:type="dxa"/>
          </w:tcPr>
          <w:p w:rsidR="00306FC9" w:rsidRPr="00671FFE" w:rsidRDefault="00306FC9" w:rsidP="00B74BFF">
            <w:pPr>
              <w:spacing w:after="0" w:line="240" w:lineRule="auto"/>
              <w:jc w:val="center"/>
              <w:rPr>
                <w:rFonts w:ascii="Times New Roman" w:hAnsi="Times New Roman"/>
                <w:lang w:val="uk-UA"/>
              </w:rPr>
            </w:pPr>
            <w:r w:rsidRPr="00671FFE">
              <w:rPr>
                <w:rFonts w:ascii="Times New Roman" w:hAnsi="Times New Roman"/>
                <w:lang w:val="uk-UA"/>
              </w:rPr>
              <w:t xml:space="preserve">№ </w:t>
            </w:r>
          </w:p>
          <w:p w:rsidR="00306FC9" w:rsidRPr="00671FFE" w:rsidRDefault="00306FC9" w:rsidP="00B74BFF">
            <w:pPr>
              <w:spacing w:after="0" w:line="240" w:lineRule="auto"/>
              <w:jc w:val="center"/>
              <w:rPr>
                <w:rFonts w:ascii="Times New Roman" w:hAnsi="Times New Roman"/>
                <w:lang w:val="uk-UA"/>
              </w:rPr>
            </w:pPr>
            <w:r w:rsidRPr="00671FFE">
              <w:rPr>
                <w:rFonts w:ascii="Times New Roman" w:hAnsi="Times New Roman"/>
                <w:lang w:val="uk-UA"/>
              </w:rPr>
              <w:t>з/п</w:t>
            </w:r>
          </w:p>
        </w:tc>
        <w:tc>
          <w:tcPr>
            <w:tcW w:w="5528" w:type="dxa"/>
          </w:tcPr>
          <w:p w:rsidR="00306FC9" w:rsidRPr="00671FFE" w:rsidRDefault="00306FC9" w:rsidP="00B74BFF">
            <w:pPr>
              <w:spacing w:after="0" w:line="240" w:lineRule="auto"/>
              <w:jc w:val="center"/>
              <w:rPr>
                <w:rFonts w:ascii="Times New Roman" w:hAnsi="Times New Roman"/>
                <w:lang w:val="uk-UA"/>
              </w:rPr>
            </w:pPr>
            <w:r w:rsidRPr="00671FFE">
              <w:rPr>
                <w:rFonts w:ascii="Times New Roman" w:hAnsi="Times New Roman"/>
                <w:lang w:val="uk-UA"/>
              </w:rPr>
              <w:t>Показники результативності</w:t>
            </w:r>
          </w:p>
        </w:tc>
        <w:tc>
          <w:tcPr>
            <w:tcW w:w="1276" w:type="dxa"/>
          </w:tcPr>
          <w:p w:rsidR="00306FC9" w:rsidRPr="00671FFE" w:rsidRDefault="00306FC9" w:rsidP="00B74BFF">
            <w:pPr>
              <w:spacing w:after="0" w:line="240" w:lineRule="auto"/>
              <w:jc w:val="center"/>
              <w:rPr>
                <w:rFonts w:ascii="Times New Roman" w:hAnsi="Times New Roman"/>
                <w:lang w:val="uk-UA"/>
              </w:rPr>
            </w:pPr>
            <w:r w:rsidRPr="00671FFE">
              <w:rPr>
                <w:rFonts w:ascii="Times New Roman" w:hAnsi="Times New Roman"/>
                <w:lang w:val="uk-UA"/>
              </w:rPr>
              <w:t>2014 рік</w:t>
            </w:r>
          </w:p>
        </w:tc>
        <w:tc>
          <w:tcPr>
            <w:tcW w:w="1559" w:type="dxa"/>
          </w:tcPr>
          <w:p w:rsidR="00306FC9" w:rsidRPr="00671FFE" w:rsidRDefault="00306FC9" w:rsidP="00B74BFF">
            <w:pPr>
              <w:spacing w:after="0" w:line="240" w:lineRule="auto"/>
              <w:jc w:val="center"/>
              <w:rPr>
                <w:rFonts w:ascii="Times New Roman" w:hAnsi="Times New Roman"/>
                <w:lang w:val="uk-UA"/>
              </w:rPr>
            </w:pPr>
            <w:r w:rsidRPr="00671FFE">
              <w:rPr>
                <w:rFonts w:ascii="Times New Roman" w:hAnsi="Times New Roman"/>
                <w:lang w:val="uk-UA"/>
              </w:rPr>
              <w:t>Квітень 2015 року – березень 2016 року</w:t>
            </w:r>
          </w:p>
        </w:tc>
      </w:tr>
      <w:tr w:rsidR="00306FC9" w:rsidRPr="00860116" w:rsidTr="00671FFE">
        <w:tc>
          <w:tcPr>
            <w:tcW w:w="817" w:type="dxa"/>
          </w:tcPr>
          <w:p w:rsidR="00306FC9" w:rsidRPr="00A203FD" w:rsidRDefault="00306FC9" w:rsidP="00B74BFF">
            <w:pPr>
              <w:spacing w:after="0" w:line="240" w:lineRule="auto"/>
              <w:jc w:val="center"/>
              <w:rPr>
                <w:rFonts w:ascii="Times New Roman" w:hAnsi="Times New Roman"/>
                <w:lang w:val="uk-UA"/>
              </w:rPr>
            </w:pPr>
            <w:r w:rsidRPr="00A203FD">
              <w:rPr>
                <w:rFonts w:ascii="Times New Roman" w:hAnsi="Times New Roman"/>
                <w:lang w:val="uk-UA"/>
              </w:rPr>
              <w:t>1.</w:t>
            </w:r>
          </w:p>
        </w:tc>
        <w:tc>
          <w:tcPr>
            <w:tcW w:w="5528" w:type="dxa"/>
          </w:tcPr>
          <w:p w:rsidR="00306FC9" w:rsidRPr="00860116" w:rsidRDefault="00306FC9" w:rsidP="00B74BFF">
            <w:pPr>
              <w:spacing w:after="0" w:line="240" w:lineRule="auto"/>
              <w:rPr>
                <w:rFonts w:ascii="Times New Roman" w:hAnsi="Times New Roman"/>
                <w:color w:val="FF0000"/>
                <w:lang w:val="uk-UA"/>
              </w:rPr>
            </w:pPr>
            <w:r>
              <w:rPr>
                <w:rFonts w:ascii="Times New Roman" w:hAnsi="Times New Roman"/>
                <w:lang w:val="uk-UA"/>
              </w:rPr>
              <w:t>т</w:t>
            </w:r>
            <w:r w:rsidRPr="00671FFE">
              <w:rPr>
                <w:rFonts w:ascii="Times New Roman" w:hAnsi="Times New Roman"/>
                <w:lang w:val="uk-UA"/>
              </w:rPr>
              <w:t>ариф на перевезення пасажирів на міських автобусних маршрутах загального користування</w:t>
            </w:r>
            <w:r>
              <w:rPr>
                <w:rFonts w:ascii="Times New Roman" w:hAnsi="Times New Roman"/>
                <w:lang w:val="uk-UA"/>
              </w:rPr>
              <w:t>, грн..</w:t>
            </w:r>
          </w:p>
        </w:tc>
        <w:tc>
          <w:tcPr>
            <w:tcW w:w="1276" w:type="dxa"/>
          </w:tcPr>
          <w:p w:rsidR="00306FC9" w:rsidRPr="00A203FD" w:rsidRDefault="00306FC9" w:rsidP="00B74BFF">
            <w:pPr>
              <w:spacing w:after="0" w:line="240" w:lineRule="auto"/>
              <w:jc w:val="center"/>
              <w:rPr>
                <w:rFonts w:ascii="Times New Roman" w:hAnsi="Times New Roman"/>
                <w:lang w:val="uk-UA"/>
              </w:rPr>
            </w:pPr>
            <w:r w:rsidRPr="00A203FD">
              <w:rPr>
                <w:rFonts w:ascii="Times New Roman" w:hAnsi="Times New Roman"/>
                <w:lang w:val="uk-UA"/>
              </w:rPr>
              <w:t>3,00</w:t>
            </w:r>
          </w:p>
        </w:tc>
        <w:tc>
          <w:tcPr>
            <w:tcW w:w="1559" w:type="dxa"/>
          </w:tcPr>
          <w:p w:rsidR="00306FC9" w:rsidRPr="00A203FD" w:rsidRDefault="00306FC9" w:rsidP="00B74BFF">
            <w:pPr>
              <w:spacing w:after="0" w:line="240" w:lineRule="auto"/>
              <w:jc w:val="center"/>
              <w:rPr>
                <w:rFonts w:ascii="Times New Roman" w:hAnsi="Times New Roman"/>
                <w:lang w:val="uk-UA"/>
              </w:rPr>
            </w:pPr>
            <w:r w:rsidRPr="00A203FD">
              <w:rPr>
                <w:rFonts w:ascii="Times New Roman" w:hAnsi="Times New Roman"/>
                <w:lang w:val="uk-UA"/>
              </w:rPr>
              <w:t>4,00</w:t>
            </w:r>
          </w:p>
        </w:tc>
      </w:tr>
      <w:tr w:rsidR="00306FC9" w:rsidRPr="00860116" w:rsidTr="00671FFE">
        <w:tc>
          <w:tcPr>
            <w:tcW w:w="817" w:type="dxa"/>
          </w:tcPr>
          <w:p w:rsidR="00306FC9" w:rsidRPr="00A203FD" w:rsidRDefault="00306FC9" w:rsidP="00B74BFF">
            <w:pPr>
              <w:spacing w:after="0" w:line="240" w:lineRule="auto"/>
              <w:jc w:val="center"/>
              <w:rPr>
                <w:rFonts w:ascii="Times New Roman" w:hAnsi="Times New Roman"/>
                <w:lang w:val="uk-UA"/>
              </w:rPr>
            </w:pPr>
            <w:r w:rsidRPr="00A203FD">
              <w:rPr>
                <w:rFonts w:ascii="Times New Roman" w:hAnsi="Times New Roman"/>
                <w:lang w:val="uk-UA"/>
              </w:rPr>
              <w:t>2.</w:t>
            </w:r>
          </w:p>
        </w:tc>
        <w:tc>
          <w:tcPr>
            <w:tcW w:w="5528" w:type="dxa"/>
          </w:tcPr>
          <w:p w:rsidR="00306FC9" w:rsidRPr="00860116" w:rsidRDefault="00306FC9" w:rsidP="00B74BFF">
            <w:pPr>
              <w:spacing w:after="0" w:line="240" w:lineRule="auto"/>
              <w:rPr>
                <w:rFonts w:ascii="Times New Roman" w:hAnsi="Times New Roman"/>
                <w:color w:val="FF0000"/>
                <w:lang w:val="uk-UA"/>
              </w:rPr>
            </w:pPr>
            <w:r w:rsidRPr="00671FFE">
              <w:rPr>
                <w:rFonts w:ascii="Times New Roman" w:hAnsi="Times New Roman"/>
                <w:lang w:val="uk-UA"/>
              </w:rPr>
              <w:t>кількість автоперевізників, на яких поширюється дія регуляторного акту</w:t>
            </w:r>
            <w:r>
              <w:rPr>
                <w:rFonts w:ascii="Times New Roman" w:hAnsi="Times New Roman"/>
                <w:lang w:val="uk-UA"/>
              </w:rPr>
              <w:t>, од.</w:t>
            </w:r>
          </w:p>
        </w:tc>
        <w:tc>
          <w:tcPr>
            <w:tcW w:w="1276" w:type="dxa"/>
          </w:tcPr>
          <w:p w:rsidR="00306FC9" w:rsidRPr="00A203FD" w:rsidRDefault="00306FC9" w:rsidP="00B74BFF">
            <w:pPr>
              <w:spacing w:after="0" w:line="240" w:lineRule="auto"/>
              <w:jc w:val="center"/>
              <w:rPr>
                <w:rFonts w:ascii="Times New Roman" w:hAnsi="Times New Roman"/>
                <w:lang w:val="uk-UA"/>
              </w:rPr>
            </w:pPr>
            <w:r>
              <w:rPr>
                <w:rFonts w:ascii="Times New Roman" w:hAnsi="Times New Roman"/>
                <w:lang w:val="uk-UA"/>
              </w:rPr>
              <w:t>3</w:t>
            </w:r>
          </w:p>
        </w:tc>
        <w:tc>
          <w:tcPr>
            <w:tcW w:w="1559" w:type="dxa"/>
          </w:tcPr>
          <w:p w:rsidR="00306FC9" w:rsidRPr="00A203FD" w:rsidRDefault="00306FC9" w:rsidP="00B74BFF">
            <w:pPr>
              <w:spacing w:after="0" w:line="240" w:lineRule="auto"/>
              <w:jc w:val="center"/>
              <w:rPr>
                <w:rFonts w:ascii="Times New Roman" w:hAnsi="Times New Roman"/>
                <w:lang w:val="uk-UA"/>
              </w:rPr>
            </w:pPr>
            <w:r>
              <w:rPr>
                <w:rFonts w:ascii="Times New Roman" w:hAnsi="Times New Roman"/>
                <w:lang w:val="uk-UA"/>
              </w:rPr>
              <w:t>3</w:t>
            </w:r>
          </w:p>
        </w:tc>
      </w:tr>
      <w:tr w:rsidR="00306FC9" w:rsidRPr="00860116" w:rsidTr="00671FFE">
        <w:tc>
          <w:tcPr>
            <w:tcW w:w="817" w:type="dxa"/>
          </w:tcPr>
          <w:p w:rsidR="00306FC9" w:rsidRPr="00A203FD" w:rsidRDefault="00306FC9" w:rsidP="00B74BFF">
            <w:pPr>
              <w:spacing w:after="0" w:line="240" w:lineRule="auto"/>
              <w:jc w:val="center"/>
              <w:rPr>
                <w:rFonts w:ascii="Times New Roman" w:hAnsi="Times New Roman"/>
                <w:lang w:val="uk-UA"/>
              </w:rPr>
            </w:pPr>
            <w:r w:rsidRPr="00A203FD">
              <w:rPr>
                <w:rFonts w:ascii="Times New Roman" w:hAnsi="Times New Roman"/>
                <w:lang w:val="uk-UA"/>
              </w:rPr>
              <w:t>3.</w:t>
            </w:r>
          </w:p>
        </w:tc>
        <w:tc>
          <w:tcPr>
            <w:tcW w:w="5528" w:type="dxa"/>
          </w:tcPr>
          <w:p w:rsidR="00306FC9" w:rsidRPr="00860116" w:rsidRDefault="00306FC9" w:rsidP="00B74BFF">
            <w:pPr>
              <w:spacing w:after="0" w:line="240" w:lineRule="auto"/>
              <w:rPr>
                <w:rFonts w:ascii="Times New Roman" w:hAnsi="Times New Roman"/>
                <w:color w:val="FF0000"/>
                <w:lang w:val="uk-UA"/>
              </w:rPr>
            </w:pPr>
            <w:r w:rsidRPr="00671FFE">
              <w:rPr>
                <w:rFonts w:ascii="Times New Roman" w:hAnsi="Times New Roman"/>
                <w:lang w:val="uk-UA"/>
              </w:rPr>
              <w:t>обсяг пасажироперевезень на міських автобусних маршрутах</w:t>
            </w:r>
            <w:r>
              <w:rPr>
                <w:rFonts w:ascii="Times New Roman" w:hAnsi="Times New Roman"/>
                <w:lang w:val="uk-UA"/>
              </w:rPr>
              <w:t>, пас.</w:t>
            </w:r>
          </w:p>
        </w:tc>
        <w:tc>
          <w:tcPr>
            <w:tcW w:w="1276" w:type="dxa"/>
          </w:tcPr>
          <w:p w:rsidR="00306FC9" w:rsidRPr="00A203FD" w:rsidRDefault="00306FC9" w:rsidP="00B74BFF">
            <w:pPr>
              <w:spacing w:after="0" w:line="240" w:lineRule="auto"/>
              <w:jc w:val="center"/>
              <w:rPr>
                <w:rFonts w:ascii="Times New Roman" w:hAnsi="Times New Roman"/>
                <w:lang w:val="uk-UA"/>
              </w:rPr>
            </w:pPr>
            <w:r>
              <w:rPr>
                <w:rFonts w:ascii="Times New Roman" w:hAnsi="Times New Roman"/>
                <w:lang w:val="uk-UA"/>
              </w:rPr>
              <w:t>1014115</w:t>
            </w:r>
          </w:p>
        </w:tc>
        <w:tc>
          <w:tcPr>
            <w:tcW w:w="1559" w:type="dxa"/>
          </w:tcPr>
          <w:p w:rsidR="00306FC9" w:rsidRPr="00A203FD" w:rsidRDefault="00306FC9" w:rsidP="00B74BFF">
            <w:pPr>
              <w:spacing w:after="0" w:line="240" w:lineRule="auto"/>
              <w:jc w:val="center"/>
              <w:rPr>
                <w:rFonts w:ascii="Times New Roman" w:hAnsi="Times New Roman"/>
                <w:lang w:val="uk-UA"/>
              </w:rPr>
            </w:pPr>
            <w:r>
              <w:rPr>
                <w:rFonts w:ascii="Times New Roman" w:hAnsi="Times New Roman"/>
                <w:lang w:val="uk-UA"/>
              </w:rPr>
              <w:t>965748</w:t>
            </w:r>
          </w:p>
        </w:tc>
      </w:tr>
      <w:tr w:rsidR="00306FC9" w:rsidRPr="00860116" w:rsidTr="00671FFE">
        <w:tc>
          <w:tcPr>
            <w:tcW w:w="817" w:type="dxa"/>
          </w:tcPr>
          <w:p w:rsidR="00306FC9" w:rsidRPr="00A203FD" w:rsidRDefault="00306FC9" w:rsidP="00B74BFF">
            <w:pPr>
              <w:spacing w:after="0" w:line="240" w:lineRule="auto"/>
              <w:jc w:val="center"/>
              <w:rPr>
                <w:rFonts w:ascii="Times New Roman" w:hAnsi="Times New Roman"/>
                <w:lang w:val="uk-UA"/>
              </w:rPr>
            </w:pPr>
            <w:r w:rsidRPr="00A203FD">
              <w:rPr>
                <w:rFonts w:ascii="Times New Roman" w:hAnsi="Times New Roman"/>
                <w:lang w:val="uk-UA"/>
              </w:rPr>
              <w:t>4.</w:t>
            </w:r>
          </w:p>
        </w:tc>
        <w:tc>
          <w:tcPr>
            <w:tcW w:w="5528" w:type="dxa"/>
          </w:tcPr>
          <w:p w:rsidR="00306FC9" w:rsidRPr="00671FFE" w:rsidRDefault="00306FC9" w:rsidP="00B74BFF">
            <w:pPr>
              <w:spacing w:after="0" w:line="240" w:lineRule="auto"/>
              <w:rPr>
                <w:rFonts w:ascii="Times New Roman" w:hAnsi="Times New Roman"/>
                <w:lang w:val="uk-UA"/>
              </w:rPr>
            </w:pPr>
            <w:r w:rsidRPr="00671FFE">
              <w:rPr>
                <w:rFonts w:ascii="Times New Roman" w:hAnsi="Times New Roman"/>
                <w:lang w:val="uk-UA"/>
              </w:rPr>
              <w:t>кількість автобусів, які щоденно обслуговують міські автобусні маршрути загального користування</w:t>
            </w:r>
            <w:r>
              <w:rPr>
                <w:rFonts w:ascii="Times New Roman" w:hAnsi="Times New Roman"/>
                <w:lang w:val="uk-UA"/>
              </w:rPr>
              <w:t>, од.</w:t>
            </w:r>
          </w:p>
        </w:tc>
        <w:tc>
          <w:tcPr>
            <w:tcW w:w="1276" w:type="dxa"/>
          </w:tcPr>
          <w:p w:rsidR="00306FC9" w:rsidRPr="00A203FD" w:rsidRDefault="00306FC9" w:rsidP="00B74BFF">
            <w:pPr>
              <w:spacing w:after="0" w:line="240" w:lineRule="auto"/>
              <w:jc w:val="center"/>
              <w:rPr>
                <w:rFonts w:ascii="Times New Roman" w:hAnsi="Times New Roman"/>
                <w:lang w:val="uk-UA"/>
              </w:rPr>
            </w:pPr>
            <w:r>
              <w:rPr>
                <w:rFonts w:ascii="Times New Roman" w:hAnsi="Times New Roman"/>
                <w:lang w:val="uk-UA"/>
              </w:rPr>
              <w:t>18</w:t>
            </w:r>
          </w:p>
        </w:tc>
        <w:tc>
          <w:tcPr>
            <w:tcW w:w="1559" w:type="dxa"/>
          </w:tcPr>
          <w:p w:rsidR="00306FC9" w:rsidRPr="00A203FD" w:rsidRDefault="00306FC9" w:rsidP="00B74BFF">
            <w:pPr>
              <w:spacing w:after="0" w:line="240" w:lineRule="auto"/>
              <w:jc w:val="center"/>
              <w:rPr>
                <w:rFonts w:ascii="Times New Roman" w:hAnsi="Times New Roman"/>
                <w:lang w:val="uk-UA"/>
              </w:rPr>
            </w:pPr>
            <w:r>
              <w:rPr>
                <w:rFonts w:ascii="Times New Roman" w:hAnsi="Times New Roman"/>
                <w:lang w:val="uk-UA"/>
              </w:rPr>
              <w:t>15</w:t>
            </w:r>
          </w:p>
        </w:tc>
      </w:tr>
      <w:tr w:rsidR="00306FC9" w:rsidRPr="00860116" w:rsidTr="00671FFE">
        <w:tc>
          <w:tcPr>
            <w:tcW w:w="817" w:type="dxa"/>
          </w:tcPr>
          <w:p w:rsidR="00306FC9" w:rsidRPr="00A203FD" w:rsidRDefault="00306FC9" w:rsidP="00B74BFF">
            <w:pPr>
              <w:spacing w:after="0" w:line="240" w:lineRule="auto"/>
              <w:jc w:val="center"/>
              <w:rPr>
                <w:rFonts w:ascii="Times New Roman" w:hAnsi="Times New Roman"/>
                <w:lang w:val="uk-UA"/>
              </w:rPr>
            </w:pPr>
            <w:r>
              <w:rPr>
                <w:rFonts w:ascii="Times New Roman" w:hAnsi="Times New Roman"/>
                <w:lang w:val="uk-UA"/>
              </w:rPr>
              <w:t>5.</w:t>
            </w:r>
          </w:p>
        </w:tc>
        <w:tc>
          <w:tcPr>
            <w:tcW w:w="5528" w:type="dxa"/>
          </w:tcPr>
          <w:p w:rsidR="00306FC9" w:rsidRPr="00671FFE" w:rsidRDefault="00306FC9" w:rsidP="00B74BFF">
            <w:pPr>
              <w:spacing w:after="0" w:line="240" w:lineRule="auto"/>
              <w:rPr>
                <w:rFonts w:ascii="Times New Roman" w:hAnsi="Times New Roman"/>
                <w:lang w:val="uk-UA"/>
              </w:rPr>
            </w:pPr>
            <w:r w:rsidRPr="00671FFE">
              <w:rPr>
                <w:rFonts w:ascii="Times New Roman" w:hAnsi="Times New Roman"/>
                <w:lang w:val="uk-UA"/>
              </w:rPr>
              <w:t>фінансовий результат</w:t>
            </w:r>
            <w:r>
              <w:rPr>
                <w:rFonts w:ascii="Times New Roman" w:hAnsi="Times New Roman"/>
                <w:lang w:val="uk-UA"/>
              </w:rPr>
              <w:t xml:space="preserve"> діяльності підприємства, тис.грн.</w:t>
            </w:r>
          </w:p>
        </w:tc>
        <w:tc>
          <w:tcPr>
            <w:tcW w:w="1276"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-241,2</w:t>
            </w:r>
          </w:p>
        </w:tc>
        <w:tc>
          <w:tcPr>
            <w:tcW w:w="1559"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+50,8</w:t>
            </w:r>
          </w:p>
        </w:tc>
      </w:tr>
      <w:tr w:rsidR="00306FC9" w:rsidRPr="00860116" w:rsidTr="00671FFE">
        <w:tc>
          <w:tcPr>
            <w:tcW w:w="817"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6.</w:t>
            </w:r>
          </w:p>
        </w:tc>
        <w:tc>
          <w:tcPr>
            <w:tcW w:w="5528" w:type="dxa"/>
          </w:tcPr>
          <w:p w:rsidR="00306FC9" w:rsidRPr="00671FFE" w:rsidRDefault="00306FC9" w:rsidP="00B74BFF">
            <w:pPr>
              <w:spacing w:after="0" w:line="240" w:lineRule="auto"/>
              <w:rPr>
                <w:rFonts w:ascii="Times New Roman" w:hAnsi="Times New Roman"/>
                <w:lang w:val="uk-UA"/>
              </w:rPr>
            </w:pPr>
            <w:r w:rsidRPr="00671FFE">
              <w:rPr>
                <w:rFonts w:ascii="Times New Roman" w:hAnsi="Times New Roman"/>
                <w:lang w:val="uk-UA"/>
              </w:rPr>
              <w:t>мінімальна заробітна плата</w:t>
            </w:r>
            <w:r>
              <w:rPr>
                <w:rFonts w:ascii="Times New Roman" w:hAnsi="Times New Roman"/>
                <w:lang w:val="uk-UA"/>
              </w:rPr>
              <w:t xml:space="preserve"> працівників перевізників, грн..</w:t>
            </w:r>
          </w:p>
        </w:tc>
        <w:tc>
          <w:tcPr>
            <w:tcW w:w="1276"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1218</w:t>
            </w:r>
          </w:p>
        </w:tc>
        <w:tc>
          <w:tcPr>
            <w:tcW w:w="1559"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1378</w:t>
            </w:r>
          </w:p>
        </w:tc>
      </w:tr>
      <w:tr w:rsidR="00306FC9" w:rsidRPr="00860116" w:rsidTr="00671FFE">
        <w:tc>
          <w:tcPr>
            <w:tcW w:w="817"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7.</w:t>
            </w:r>
          </w:p>
        </w:tc>
        <w:tc>
          <w:tcPr>
            <w:tcW w:w="5528" w:type="dxa"/>
          </w:tcPr>
          <w:p w:rsidR="00306FC9" w:rsidRPr="00671FFE" w:rsidRDefault="00306FC9" w:rsidP="00B74BFF">
            <w:pPr>
              <w:spacing w:after="0" w:line="240" w:lineRule="auto"/>
              <w:rPr>
                <w:rFonts w:ascii="Times New Roman" w:hAnsi="Times New Roman"/>
                <w:lang w:val="uk-UA"/>
              </w:rPr>
            </w:pPr>
            <w:r w:rsidRPr="00671FFE">
              <w:rPr>
                <w:rFonts w:ascii="Times New Roman" w:hAnsi="Times New Roman"/>
                <w:lang w:val="uk-UA"/>
              </w:rPr>
              <w:t>вартість пального</w:t>
            </w:r>
            <w:r>
              <w:rPr>
                <w:rFonts w:ascii="Times New Roman" w:hAnsi="Times New Roman"/>
                <w:lang w:val="uk-UA"/>
              </w:rPr>
              <w:t>, грн..</w:t>
            </w:r>
          </w:p>
        </w:tc>
        <w:tc>
          <w:tcPr>
            <w:tcW w:w="1276"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21,00</w:t>
            </w:r>
          </w:p>
        </w:tc>
        <w:tc>
          <w:tcPr>
            <w:tcW w:w="1559"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19,00</w:t>
            </w:r>
          </w:p>
        </w:tc>
      </w:tr>
      <w:tr w:rsidR="00306FC9" w:rsidRPr="00860116" w:rsidTr="00671FFE">
        <w:tc>
          <w:tcPr>
            <w:tcW w:w="817"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8.</w:t>
            </w:r>
          </w:p>
        </w:tc>
        <w:tc>
          <w:tcPr>
            <w:tcW w:w="5528" w:type="dxa"/>
          </w:tcPr>
          <w:p w:rsidR="00306FC9" w:rsidRPr="00671FFE" w:rsidRDefault="00306FC9" w:rsidP="00B74BFF">
            <w:pPr>
              <w:spacing w:after="0" w:line="240" w:lineRule="auto"/>
              <w:rPr>
                <w:rFonts w:ascii="Times New Roman" w:hAnsi="Times New Roman"/>
                <w:lang w:val="uk-UA"/>
              </w:rPr>
            </w:pPr>
            <w:r w:rsidRPr="00671FFE">
              <w:rPr>
                <w:rFonts w:ascii="Times New Roman" w:hAnsi="Times New Roman"/>
                <w:lang w:val="uk-UA"/>
              </w:rPr>
              <w:t>кількість автобусних маршрутів</w:t>
            </w:r>
            <w:r>
              <w:rPr>
                <w:rFonts w:ascii="Times New Roman" w:hAnsi="Times New Roman"/>
                <w:lang w:val="en-US"/>
              </w:rPr>
              <w:t xml:space="preserve"> </w:t>
            </w:r>
            <w:r w:rsidRPr="00671FFE">
              <w:rPr>
                <w:rFonts w:ascii="Times New Roman" w:hAnsi="Times New Roman"/>
                <w:lang w:val="uk-UA"/>
              </w:rPr>
              <w:t>загального користування</w:t>
            </w:r>
            <w:r>
              <w:rPr>
                <w:rFonts w:ascii="Times New Roman" w:hAnsi="Times New Roman"/>
                <w:lang w:val="uk-UA"/>
              </w:rPr>
              <w:t>, од.</w:t>
            </w:r>
          </w:p>
        </w:tc>
        <w:tc>
          <w:tcPr>
            <w:tcW w:w="1276"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11</w:t>
            </w:r>
          </w:p>
        </w:tc>
        <w:tc>
          <w:tcPr>
            <w:tcW w:w="1559"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11</w:t>
            </w:r>
          </w:p>
        </w:tc>
      </w:tr>
      <w:tr w:rsidR="00306FC9" w:rsidRPr="00860116" w:rsidTr="00671FFE">
        <w:tc>
          <w:tcPr>
            <w:tcW w:w="817"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9.</w:t>
            </w:r>
          </w:p>
        </w:tc>
        <w:tc>
          <w:tcPr>
            <w:tcW w:w="5528" w:type="dxa"/>
          </w:tcPr>
          <w:p w:rsidR="00306FC9" w:rsidRPr="00671FFE" w:rsidRDefault="00306FC9" w:rsidP="00B74BFF">
            <w:pPr>
              <w:spacing w:after="0" w:line="240" w:lineRule="auto"/>
              <w:rPr>
                <w:rFonts w:ascii="Times New Roman" w:hAnsi="Times New Roman"/>
                <w:lang w:val="uk-UA"/>
              </w:rPr>
            </w:pPr>
            <w:r w:rsidRPr="00671FFE">
              <w:rPr>
                <w:rFonts w:ascii="Times New Roman" w:hAnsi="Times New Roman"/>
                <w:lang w:val="uk-UA"/>
              </w:rPr>
              <w:t>кількість виконаних рейсів на автобусних маршрутах загального користування</w:t>
            </w:r>
            <w:r>
              <w:rPr>
                <w:rFonts w:ascii="Times New Roman" w:hAnsi="Times New Roman"/>
                <w:lang w:val="uk-UA"/>
              </w:rPr>
              <w:t>, од.</w:t>
            </w:r>
          </w:p>
        </w:tc>
        <w:tc>
          <w:tcPr>
            <w:tcW w:w="1276"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 xml:space="preserve">124017 </w:t>
            </w:r>
          </w:p>
        </w:tc>
        <w:tc>
          <w:tcPr>
            <w:tcW w:w="1559" w:type="dxa"/>
          </w:tcPr>
          <w:p w:rsidR="00306FC9" w:rsidRDefault="00306FC9" w:rsidP="00B74BFF">
            <w:pPr>
              <w:spacing w:after="0" w:line="240" w:lineRule="auto"/>
              <w:jc w:val="center"/>
              <w:rPr>
                <w:rFonts w:ascii="Times New Roman" w:hAnsi="Times New Roman"/>
                <w:lang w:val="uk-UA"/>
              </w:rPr>
            </w:pPr>
            <w:r>
              <w:rPr>
                <w:rFonts w:ascii="Times New Roman" w:hAnsi="Times New Roman"/>
                <w:lang w:val="uk-UA"/>
              </w:rPr>
              <w:t>100297</w:t>
            </w:r>
          </w:p>
        </w:tc>
      </w:tr>
    </w:tbl>
    <w:p w:rsidR="00306FC9" w:rsidRPr="00860116" w:rsidRDefault="00306FC9" w:rsidP="00B74BFF">
      <w:pPr>
        <w:spacing w:after="0"/>
        <w:rPr>
          <w:rFonts w:ascii="Times New Roman" w:hAnsi="Times New Roman"/>
          <w:color w:val="FF0000"/>
          <w:lang w:val="uk-UA"/>
        </w:rPr>
      </w:pPr>
    </w:p>
    <w:p w:rsidR="00306FC9" w:rsidRPr="00672020" w:rsidRDefault="00306FC9" w:rsidP="00B74BFF">
      <w:pPr>
        <w:spacing w:after="0" w:line="240" w:lineRule="auto"/>
        <w:jc w:val="both"/>
        <w:rPr>
          <w:rFonts w:ascii="Times New Roman" w:hAnsi="Times New Roman"/>
          <w:b/>
          <w:lang w:val="uk-UA"/>
        </w:rPr>
      </w:pPr>
      <w:r w:rsidRPr="00672020">
        <w:rPr>
          <w:rFonts w:ascii="Times New Roman" w:hAnsi="Times New Roman"/>
          <w:b/>
          <w:lang w:val="uk-UA"/>
        </w:rPr>
        <w:t xml:space="preserve">9. </w:t>
      </w:r>
      <w:r w:rsidRPr="00672020">
        <w:rPr>
          <w:rFonts w:ascii="Times New Roman" w:hAnsi="Times New Roman"/>
          <w:b/>
        </w:rPr>
        <w:t>Оцінка</w:t>
      </w:r>
      <w:r w:rsidRPr="00EB0886">
        <w:rPr>
          <w:rFonts w:ascii="Times New Roman" w:hAnsi="Times New Roman"/>
          <w:b/>
        </w:rPr>
        <w:t xml:space="preserve"> </w:t>
      </w:r>
      <w:r w:rsidRPr="00672020">
        <w:rPr>
          <w:rFonts w:ascii="Times New Roman" w:hAnsi="Times New Roman"/>
          <w:b/>
        </w:rPr>
        <w:t>результатів</w:t>
      </w:r>
      <w:r w:rsidRPr="00EB0886">
        <w:rPr>
          <w:rFonts w:ascii="Times New Roman" w:hAnsi="Times New Roman"/>
          <w:b/>
        </w:rPr>
        <w:t xml:space="preserve"> </w:t>
      </w:r>
      <w:r w:rsidRPr="00672020">
        <w:rPr>
          <w:rFonts w:ascii="Times New Roman" w:hAnsi="Times New Roman"/>
          <w:b/>
        </w:rPr>
        <w:t>реалізації</w:t>
      </w:r>
      <w:r w:rsidRPr="00EB0886">
        <w:rPr>
          <w:rFonts w:ascii="Times New Roman" w:hAnsi="Times New Roman"/>
          <w:b/>
        </w:rPr>
        <w:t xml:space="preserve"> </w:t>
      </w:r>
      <w:r w:rsidRPr="00672020">
        <w:rPr>
          <w:rFonts w:ascii="Times New Roman" w:hAnsi="Times New Roman"/>
          <w:b/>
        </w:rPr>
        <w:t>регуляторного акту та ступеня</w:t>
      </w:r>
      <w:r w:rsidRPr="00EB0886">
        <w:rPr>
          <w:rFonts w:ascii="Times New Roman" w:hAnsi="Times New Roman"/>
          <w:b/>
        </w:rPr>
        <w:t xml:space="preserve"> </w:t>
      </w:r>
      <w:r w:rsidRPr="00672020">
        <w:rPr>
          <w:rFonts w:ascii="Times New Roman" w:hAnsi="Times New Roman"/>
          <w:b/>
        </w:rPr>
        <w:t>досягнення</w:t>
      </w:r>
      <w:r w:rsidRPr="00EB0886">
        <w:rPr>
          <w:rFonts w:ascii="Times New Roman" w:hAnsi="Times New Roman"/>
          <w:b/>
        </w:rPr>
        <w:t xml:space="preserve"> </w:t>
      </w:r>
      <w:r w:rsidRPr="00672020">
        <w:rPr>
          <w:rFonts w:ascii="Times New Roman" w:hAnsi="Times New Roman"/>
          <w:b/>
        </w:rPr>
        <w:t>визначених</w:t>
      </w:r>
      <w:r w:rsidRPr="00EB0886">
        <w:rPr>
          <w:rFonts w:ascii="Times New Roman" w:hAnsi="Times New Roman"/>
          <w:b/>
        </w:rPr>
        <w:t xml:space="preserve"> </w:t>
      </w:r>
      <w:r w:rsidRPr="00672020">
        <w:rPr>
          <w:rFonts w:ascii="Times New Roman" w:hAnsi="Times New Roman"/>
          <w:b/>
        </w:rPr>
        <w:t>цілей</w:t>
      </w:r>
    </w:p>
    <w:p w:rsidR="00306FC9" w:rsidRPr="00672020" w:rsidRDefault="00306FC9" w:rsidP="00B74BFF">
      <w:pPr>
        <w:spacing w:after="0" w:line="240" w:lineRule="auto"/>
        <w:ind w:firstLine="748"/>
        <w:jc w:val="both"/>
        <w:rPr>
          <w:rFonts w:ascii="Times New Roman" w:hAnsi="Times New Roman"/>
          <w:lang w:val="uk-UA"/>
        </w:rPr>
      </w:pPr>
      <w:r w:rsidRPr="008A4162">
        <w:rPr>
          <w:rFonts w:ascii="Times New Roman" w:hAnsi="Times New Roman"/>
          <w:lang w:val="uk-UA"/>
        </w:rPr>
        <w:t>Згідно даних</w:t>
      </w:r>
      <w:r w:rsidRPr="00672020">
        <w:rPr>
          <w:rFonts w:ascii="Times New Roman" w:hAnsi="Times New Roman"/>
          <w:lang w:val="uk-UA"/>
        </w:rPr>
        <w:t xml:space="preserve"> цієї</w:t>
      </w:r>
      <w:r w:rsidRPr="008A4162">
        <w:rPr>
          <w:rFonts w:ascii="Times New Roman" w:hAnsi="Times New Roman"/>
          <w:lang w:val="uk-UA"/>
        </w:rPr>
        <w:t xml:space="preserve"> таблиц</w:t>
      </w:r>
      <w:r w:rsidRPr="00672020">
        <w:rPr>
          <w:rFonts w:ascii="Times New Roman" w:hAnsi="Times New Roman"/>
          <w:lang w:val="uk-UA"/>
        </w:rPr>
        <w:t>і</w:t>
      </w:r>
      <w:r w:rsidRPr="008A4162">
        <w:rPr>
          <w:rFonts w:ascii="Times New Roman" w:hAnsi="Times New Roman"/>
          <w:lang w:val="uk-UA"/>
        </w:rPr>
        <w:t xml:space="preserve"> можна побачити, що </w:t>
      </w:r>
      <w:r>
        <w:rPr>
          <w:rFonts w:ascii="Times New Roman" w:hAnsi="Times New Roman"/>
          <w:lang w:val="uk-UA"/>
        </w:rPr>
        <w:t xml:space="preserve">обсяг пасажироперевезень зменшився на 4,8%, </w:t>
      </w:r>
      <w:r w:rsidRPr="00671FFE">
        <w:rPr>
          <w:rFonts w:ascii="Times New Roman" w:hAnsi="Times New Roman"/>
          <w:lang w:val="uk-UA"/>
        </w:rPr>
        <w:t>кількість автобусів, які щоденно обслуговують міські автобусні маршрути загального користування</w:t>
      </w:r>
      <w:r>
        <w:rPr>
          <w:rFonts w:ascii="Times New Roman" w:hAnsi="Times New Roman"/>
          <w:lang w:val="uk-UA"/>
        </w:rPr>
        <w:t xml:space="preserve"> зменшилась на 16,7% та </w:t>
      </w:r>
      <w:r w:rsidRPr="00671FFE">
        <w:rPr>
          <w:rFonts w:ascii="Times New Roman" w:hAnsi="Times New Roman"/>
          <w:lang w:val="uk-UA"/>
        </w:rPr>
        <w:t>кількість виконаних рейсів на автобусних маршрутах загального користування</w:t>
      </w:r>
      <w:r>
        <w:rPr>
          <w:rFonts w:ascii="Times New Roman" w:hAnsi="Times New Roman"/>
          <w:lang w:val="uk-UA"/>
        </w:rPr>
        <w:t xml:space="preserve"> зменшилася на 19,1%. Зменшення цих показників відбулося у зв’язку із скороченням нерентабельних рейсів згідно рішення виконавчого комітету Знам’янської міської ради від 17.06.2015 року №193 «Про затвердження змін до розкладу руху автобусів на міських автобусних маршрутах загального користування». Після прийняття регуляторного акту підприємство стало працювати прибутково, протягом року після прийняття регуляторного акту підприємство отримало прибуток у розмірі 50,8 тис.грн., порівняно з 2014 роком, коли підприємство працювало збитково (-241,2 тис.грн.). Позитивним фактором прийняття регуляторного акту є отримання перевізниками додатковим фінансових ресурсів для забезпечення безпечного надання послуг пасажирського автотранспорту. </w:t>
      </w:r>
    </w:p>
    <w:p w:rsidR="00306FC9" w:rsidRPr="00C8686E" w:rsidRDefault="00306FC9" w:rsidP="00B74BFF">
      <w:pPr>
        <w:spacing w:after="0" w:line="240" w:lineRule="auto"/>
        <w:ind w:firstLine="748"/>
        <w:jc w:val="both"/>
        <w:rPr>
          <w:rFonts w:ascii="Times New Roman" w:hAnsi="Times New Roman"/>
          <w:lang w:val="uk-UA"/>
        </w:rPr>
      </w:pPr>
      <w:r w:rsidRPr="00C8686E">
        <w:rPr>
          <w:rFonts w:ascii="Times New Roman" w:hAnsi="Times New Roman"/>
        </w:rPr>
        <w:t>Це</w:t>
      </w:r>
      <w:r w:rsidRPr="00EB0886">
        <w:rPr>
          <w:rFonts w:ascii="Times New Roman" w:hAnsi="Times New Roman"/>
        </w:rPr>
        <w:t xml:space="preserve"> </w:t>
      </w:r>
      <w:r w:rsidRPr="00C8686E">
        <w:rPr>
          <w:rFonts w:ascii="Times New Roman" w:hAnsi="Times New Roman"/>
        </w:rPr>
        <w:t>свідчить про позитивний</w:t>
      </w:r>
      <w:r w:rsidRPr="00EB0886">
        <w:rPr>
          <w:rFonts w:ascii="Times New Roman" w:hAnsi="Times New Roman"/>
        </w:rPr>
        <w:t xml:space="preserve"> </w:t>
      </w:r>
      <w:r w:rsidRPr="00C8686E">
        <w:rPr>
          <w:rFonts w:ascii="Times New Roman" w:hAnsi="Times New Roman"/>
        </w:rPr>
        <w:t>ефект</w:t>
      </w:r>
      <w:r w:rsidRPr="00EB0886">
        <w:rPr>
          <w:rFonts w:ascii="Times New Roman" w:hAnsi="Times New Roman"/>
        </w:rPr>
        <w:t xml:space="preserve"> </w:t>
      </w:r>
      <w:r w:rsidRPr="00C8686E">
        <w:rPr>
          <w:rFonts w:ascii="Times New Roman" w:hAnsi="Times New Roman"/>
        </w:rPr>
        <w:t>від</w:t>
      </w:r>
      <w:r w:rsidRPr="00EB0886">
        <w:rPr>
          <w:rFonts w:ascii="Times New Roman" w:hAnsi="Times New Roman"/>
        </w:rPr>
        <w:t xml:space="preserve"> </w:t>
      </w:r>
      <w:r w:rsidRPr="00C8686E">
        <w:rPr>
          <w:rFonts w:ascii="Times New Roman" w:hAnsi="Times New Roman"/>
        </w:rPr>
        <w:t>запровадження</w:t>
      </w:r>
      <w:r w:rsidRPr="00EB0886">
        <w:rPr>
          <w:rFonts w:ascii="Times New Roman" w:hAnsi="Times New Roman"/>
        </w:rPr>
        <w:t xml:space="preserve"> </w:t>
      </w:r>
      <w:r w:rsidRPr="00C8686E">
        <w:rPr>
          <w:rFonts w:ascii="Times New Roman" w:hAnsi="Times New Roman"/>
        </w:rPr>
        <w:t>цього регуляторного акта.</w:t>
      </w:r>
    </w:p>
    <w:p w:rsidR="00306FC9" w:rsidRPr="00C8686E" w:rsidRDefault="00306FC9" w:rsidP="00B74BFF">
      <w:pPr>
        <w:spacing w:after="0" w:line="240" w:lineRule="auto"/>
        <w:rPr>
          <w:rFonts w:ascii="Times New Roman" w:hAnsi="Times New Roman"/>
          <w:lang w:val="uk-UA"/>
        </w:rPr>
      </w:pPr>
    </w:p>
    <w:p w:rsidR="00306FC9" w:rsidRPr="00B74BFF" w:rsidRDefault="00306FC9" w:rsidP="00B74BFF">
      <w:pPr>
        <w:spacing w:after="0" w:line="240" w:lineRule="auto"/>
        <w:rPr>
          <w:rFonts w:ascii="Times New Roman" w:hAnsi="Times New Roman"/>
          <w:lang w:val="uk-UA"/>
        </w:rPr>
      </w:pPr>
    </w:p>
    <w:p w:rsidR="00306FC9" w:rsidRPr="00B74BFF" w:rsidRDefault="00306FC9" w:rsidP="00B74BFF">
      <w:pPr>
        <w:spacing w:after="0" w:line="240" w:lineRule="auto"/>
        <w:rPr>
          <w:rFonts w:ascii="Times New Roman" w:hAnsi="Times New Roman"/>
          <w:b/>
          <w:lang w:val="uk-UA"/>
        </w:rPr>
      </w:pPr>
      <w:r w:rsidRPr="00B74BFF">
        <w:rPr>
          <w:rFonts w:ascii="Times New Roman" w:hAnsi="Times New Roman"/>
          <w:b/>
          <w:lang w:val="uk-UA"/>
        </w:rPr>
        <w:t xml:space="preserve">В.о. начальника відділу економічного </w:t>
      </w:r>
    </w:p>
    <w:p w:rsidR="00306FC9" w:rsidRPr="00B74BFF" w:rsidRDefault="00306FC9" w:rsidP="00B74BFF">
      <w:pPr>
        <w:spacing w:after="0" w:line="240" w:lineRule="auto"/>
        <w:rPr>
          <w:rFonts w:ascii="Times New Roman" w:hAnsi="Times New Roman"/>
          <w:b/>
          <w:lang w:val="uk-UA"/>
        </w:rPr>
      </w:pPr>
      <w:r w:rsidRPr="00B74BFF">
        <w:rPr>
          <w:rFonts w:ascii="Times New Roman" w:hAnsi="Times New Roman"/>
          <w:b/>
          <w:lang w:val="uk-UA"/>
        </w:rPr>
        <w:t xml:space="preserve">розвитку, промисловості, інфраструктури </w:t>
      </w:r>
    </w:p>
    <w:p w:rsidR="00306FC9" w:rsidRPr="00B74BFF" w:rsidRDefault="00306FC9" w:rsidP="00B74BFF">
      <w:pPr>
        <w:spacing w:after="0" w:line="240" w:lineRule="auto"/>
        <w:rPr>
          <w:rFonts w:ascii="Times New Roman" w:hAnsi="Times New Roman"/>
          <w:b/>
          <w:lang w:val="uk-UA"/>
        </w:rPr>
      </w:pPr>
      <w:r w:rsidRPr="00B74BFF">
        <w:rPr>
          <w:rFonts w:ascii="Times New Roman" w:hAnsi="Times New Roman"/>
          <w:b/>
          <w:lang w:val="uk-UA"/>
        </w:rPr>
        <w:t>та торгівлі Знам’янського міськвиконкому                                       О.В.Грінченко</w:t>
      </w:r>
    </w:p>
    <w:p w:rsidR="00306FC9" w:rsidRPr="00B74BFF" w:rsidRDefault="00306FC9" w:rsidP="00B74BFF">
      <w:pPr>
        <w:spacing w:after="0" w:line="240" w:lineRule="auto"/>
        <w:rPr>
          <w:rFonts w:ascii="Times New Roman" w:hAnsi="Times New Roman"/>
          <w:lang w:val="uk-UA"/>
        </w:rPr>
      </w:pPr>
    </w:p>
    <w:p w:rsidR="00306FC9" w:rsidRPr="00B74BFF" w:rsidRDefault="00306FC9" w:rsidP="00B74BFF">
      <w:pPr>
        <w:spacing w:after="0" w:line="240" w:lineRule="auto"/>
        <w:rPr>
          <w:rFonts w:ascii="Times New Roman" w:hAnsi="Times New Roman"/>
          <w:lang w:val="uk-UA"/>
        </w:rPr>
      </w:pPr>
      <w:r w:rsidRPr="00B74BFF">
        <w:rPr>
          <w:rFonts w:ascii="Times New Roman" w:hAnsi="Times New Roman"/>
          <w:lang w:val="uk-UA"/>
        </w:rPr>
        <w:t>вик.Голікова</w:t>
      </w:r>
    </w:p>
    <w:sectPr w:rsidR="00306FC9" w:rsidRPr="00B74BFF" w:rsidSect="00B74B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748"/>
    <w:multiLevelType w:val="hybridMultilevel"/>
    <w:tmpl w:val="E0CA4ED6"/>
    <w:lvl w:ilvl="0" w:tplc="D08E66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C23E0A"/>
    <w:multiLevelType w:val="hybridMultilevel"/>
    <w:tmpl w:val="8236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C042F4"/>
    <w:multiLevelType w:val="hybridMultilevel"/>
    <w:tmpl w:val="F7367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E5339D"/>
    <w:multiLevelType w:val="hybridMultilevel"/>
    <w:tmpl w:val="64F0E540"/>
    <w:lvl w:ilvl="0" w:tplc="53649E5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02C"/>
    <w:rsid w:val="000A24DC"/>
    <w:rsid w:val="000C008C"/>
    <w:rsid w:val="001475FB"/>
    <w:rsid w:val="0017186E"/>
    <w:rsid w:val="00200A9A"/>
    <w:rsid w:val="002316C6"/>
    <w:rsid w:val="00252485"/>
    <w:rsid w:val="00287843"/>
    <w:rsid w:val="002979A1"/>
    <w:rsid w:val="00301B78"/>
    <w:rsid w:val="00306FC9"/>
    <w:rsid w:val="00326FE4"/>
    <w:rsid w:val="00394AE8"/>
    <w:rsid w:val="003E1D49"/>
    <w:rsid w:val="003E4CFD"/>
    <w:rsid w:val="00411380"/>
    <w:rsid w:val="00483974"/>
    <w:rsid w:val="0048714C"/>
    <w:rsid w:val="004A0529"/>
    <w:rsid w:val="0058274D"/>
    <w:rsid w:val="0059051E"/>
    <w:rsid w:val="005D3573"/>
    <w:rsid w:val="005F2110"/>
    <w:rsid w:val="00605CE3"/>
    <w:rsid w:val="0061700A"/>
    <w:rsid w:val="00671FFE"/>
    <w:rsid w:val="00672020"/>
    <w:rsid w:val="00674D05"/>
    <w:rsid w:val="006832D3"/>
    <w:rsid w:val="007852DC"/>
    <w:rsid w:val="0079574A"/>
    <w:rsid w:val="007A3865"/>
    <w:rsid w:val="008213F4"/>
    <w:rsid w:val="00860116"/>
    <w:rsid w:val="008A4162"/>
    <w:rsid w:val="008D06F0"/>
    <w:rsid w:val="00944B5A"/>
    <w:rsid w:val="009D002C"/>
    <w:rsid w:val="009D7195"/>
    <w:rsid w:val="00A054EC"/>
    <w:rsid w:val="00A203FD"/>
    <w:rsid w:val="00A86236"/>
    <w:rsid w:val="00B74BFF"/>
    <w:rsid w:val="00B9693E"/>
    <w:rsid w:val="00C670B2"/>
    <w:rsid w:val="00C8686E"/>
    <w:rsid w:val="00CB7E83"/>
    <w:rsid w:val="00CD4746"/>
    <w:rsid w:val="00CF39E5"/>
    <w:rsid w:val="00D25CFB"/>
    <w:rsid w:val="00D953B8"/>
    <w:rsid w:val="00DC5248"/>
    <w:rsid w:val="00DE666A"/>
    <w:rsid w:val="00E16F12"/>
    <w:rsid w:val="00E2452E"/>
    <w:rsid w:val="00E563E5"/>
    <w:rsid w:val="00EB0886"/>
    <w:rsid w:val="00EE44EF"/>
    <w:rsid w:val="00F860F4"/>
    <w:rsid w:val="00F8613D"/>
    <w:rsid w:val="00FD63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529"/>
    <w:pPr>
      <w:ind w:left="720"/>
      <w:contextualSpacing/>
    </w:pPr>
  </w:style>
  <w:style w:type="table" w:styleId="TableGrid">
    <w:name w:val="Table Grid"/>
    <w:basedOn w:val="TableNormal"/>
    <w:uiPriority w:val="99"/>
    <w:rsid w:val="00944B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585</Words>
  <Characters>3339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2016-05-06T11:36:00Z</cp:lastPrinted>
  <dcterms:created xsi:type="dcterms:W3CDTF">2016-05-06T10:21:00Z</dcterms:created>
  <dcterms:modified xsi:type="dcterms:W3CDTF">2016-05-16T09:23:00Z</dcterms:modified>
</cp:coreProperties>
</file>